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1A" w:rsidRPr="005279F3" w:rsidRDefault="006752EC" w:rsidP="00D5121A">
      <w:pPr>
        <w:jc w:val="center"/>
        <w:rPr>
          <w:rFonts w:ascii="Cambria" w:hAnsi="Cambria"/>
          <w:u w:val="single"/>
        </w:rPr>
      </w:pPr>
      <w:r w:rsidRPr="005279F3">
        <w:rPr>
          <w:u w:val="single"/>
        </w:rPr>
        <w:t>Matemáticas</w:t>
      </w:r>
      <w:r w:rsidR="005F4A7E" w:rsidRPr="005279F3">
        <w:rPr>
          <w:u w:val="single"/>
        </w:rPr>
        <w:t xml:space="preserve"> 1</w:t>
      </w:r>
      <w:r w:rsidRPr="005279F3">
        <w:rPr>
          <w:u w:val="single"/>
        </w:rPr>
        <w:t>01 Objetivos</w:t>
      </w:r>
    </w:p>
    <w:p w:rsidR="00D5121A" w:rsidRPr="005279F3" w:rsidRDefault="00D5121A" w:rsidP="00D5121A">
      <w:pPr>
        <w:jc w:val="center"/>
        <w:rPr>
          <w:rFonts w:ascii="Cambria" w:hAnsi="Cambria"/>
          <w:u w:val="single"/>
        </w:rPr>
      </w:pPr>
    </w:p>
    <w:tbl>
      <w:tblPr>
        <w:tblW w:w="5000" w:type="pct"/>
        <w:tblBorders>
          <w:top w:val="single" w:sz="8" w:space="0" w:color="C6C6C6"/>
          <w:left w:val="single" w:sz="8" w:space="0" w:color="C6C6C6"/>
          <w:bottom w:val="single" w:sz="8" w:space="0" w:color="C6C6C6"/>
          <w:right w:val="single" w:sz="8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8"/>
        <w:gridCol w:w="7532"/>
      </w:tblGrid>
      <w:tr w:rsidR="006C62BC" w:rsidRPr="008A1020" w:rsidTr="008A1020">
        <w:tc>
          <w:tcPr>
            <w:tcW w:w="631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auto"/>
          </w:tcPr>
          <w:p w:rsidR="006C62BC" w:rsidRPr="004F38A8" w:rsidRDefault="004F38A8" w:rsidP="004F38A8">
            <w:pPr>
              <w:rPr>
                <w:rFonts w:ascii="Cambria" w:hAnsi="Cambria"/>
                <w:sz w:val="20"/>
                <w:szCs w:val="20"/>
              </w:rPr>
            </w:pPr>
            <w:r w:rsidRPr="004F38A8">
              <w:rPr>
                <w:rFonts w:ascii="Cambria" w:hAnsi="Cambria"/>
                <w:sz w:val="20"/>
                <w:szCs w:val="20"/>
              </w:rPr>
              <w:t>Clase 1</w:t>
            </w:r>
          </w:p>
        </w:tc>
        <w:tc>
          <w:tcPr>
            <w:tcW w:w="4369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auto"/>
            <w:vAlign w:val="center"/>
          </w:tcPr>
          <w:p w:rsidR="00455CEF" w:rsidRPr="004F38A8" w:rsidRDefault="00455CEF" w:rsidP="00B9538A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>*</w:t>
            </w:r>
            <w:r w:rsidR="006752EC" w:rsidRPr="004F38A8">
              <w:rPr>
                <w:rFonts w:ascii="Cambria" w:hAnsi="Cambria"/>
                <w:sz w:val="20"/>
                <w:szCs w:val="20"/>
                <w:lang w:val="es-US"/>
              </w:rPr>
              <w:t>Números</w:t>
            </w:r>
            <w:r w:rsidR="00B9538A"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 naturales</w:t>
            </w: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</w:t>
            </w:r>
            <w:r w:rsidR="006752EC"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Unidad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 xml:space="preserve"> 1, </w:t>
            </w:r>
            <w:r w:rsidR="006752EC"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Lección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 xml:space="preserve"> 1)</w:t>
            </w:r>
          </w:p>
          <w:p w:rsidR="00455CEF" w:rsidRPr="004F38A8" w:rsidRDefault="00455CEF" w:rsidP="00B9538A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>*</w:t>
            </w:r>
            <w:r w:rsidR="006752EC" w:rsidRPr="004F38A8">
              <w:rPr>
                <w:rFonts w:ascii="Cambria" w:hAnsi="Cambria"/>
                <w:sz w:val="20"/>
                <w:szCs w:val="20"/>
                <w:lang w:val="es-US"/>
              </w:rPr>
              <w:t>Operaciones</w:t>
            </w: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</w:t>
            </w:r>
            <w:r w:rsidR="006752EC"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Unidad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 xml:space="preserve"> 1, </w:t>
            </w:r>
            <w:r w:rsidR="006752EC"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Lección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 xml:space="preserve"> 2)</w:t>
            </w:r>
          </w:p>
          <w:p w:rsidR="005E0FFC" w:rsidRPr="004F38A8" w:rsidRDefault="006752EC" w:rsidP="00B9538A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>*</w:t>
            </w:r>
            <w:r w:rsidR="00B9538A"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Números </w:t>
            </w: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>Enteros</w:t>
            </w:r>
            <w:r w:rsidR="00455CEF"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 </w:t>
            </w:r>
            <w:r w:rsidR="00455CEF"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Unidad</w:t>
            </w:r>
            <w:r w:rsidR="00455CEF"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 xml:space="preserve"> 1,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Lección</w:t>
            </w:r>
            <w:r w:rsidR="00455CEF"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 xml:space="preserve"> 3)</w:t>
            </w:r>
          </w:p>
          <w:p w:rsidR="00B9538A" w:rsidRPr="004F38A8" w:rsidRDefault="005E0FFC" w:rsidP="00B9538A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*Fracciones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1, Lección 4)</w:t>
            </w:r>
          </w:p>
        </w:tc>
      </w:tr>
      <w:tr w:rsidR="006C62BC" w:rsidRPr="008A1020" w:rsidTr="008A1020">
        <w:tc>
          <w:tcPr>
            <w:tcW w:w="631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auto"/>
          </w:tcPr>
          <w:p w:rsidR="006C62BC" w:rsidRPr="004F38A8" w:rsidRDefault="004F38A8" w:rsidP="006C62BC">
            <w:pPr>
              <w:rPr>
                <w:rFonts w:ascii="Cambria" w:hAnsi="Cambria"/>
                <w:sz w:val="20"/>
                <w:szCs w:val="20"/>
              </w:rPr>
            </w:pPr>
            <w:r w:rsidRPr="004F38A8">
              <w:rPr>
                <w:rFonts w:ascii="Cambria" w:hAnsi="Cambria"/>
                <w:sz w:val="20"/>
                <w:szCs w:val="20"/>
              </w:rPr>
              <w:t>Clase 2</w:t>
            </w:r>
          </w:p>
        </w:tc>
        <w:tc>
          <w:tcPr>
            <w:tcW w:w="4369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auto"/>
            <w:vAlign w:val="center"/>
          </w:tcPr>
          <w:p w:rsidR="00455CEF" w:rsidRPr="004F38A8" w:rsidRDefault="00455CEF" w:rsidP="00B9538A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>*</w:t>
            </w:r>
            <w:r w:rsidR="00B9538A"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Razones y </w:t>
            </w:r>
            <w:r w:rsidR="006752EC" w:rsidRPr="004F38A8">
              <w:rPr>
                <w:rFonts w:ascii="Cambria" w:hAnsi="Cambria"/>
                <w:sz w:val="20"/>
                <w:szCs w:val="20"/>
                <w:lang w:val="es-US"/>
              </w:rPr>
              <w:t>Proporciones</w:t>
            </w: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</w:t>
            </w:r>
            <w:r w:rsidR="006752EC"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Unidad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 xml:space="preserve"> 1, </w:t>
            </w:r>
            <w:r w:rsidR="006752EC"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Lección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 xml:space="preserve"> 5)</w:t>
            </w:r>
          </w:p>
          <w:p w:rsidR="005E0FFC" w:rsidRPr="004F38A8" w:rsidRDefault="006752EC" w:rsidP="00B9538A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>*</w:t>
            </w:r>
            <w:r w:rsidR="00B9538A"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Números </w:t>
            </w: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>Decimales</w:t>
            </w:r>
            <w:r w:rsidR="00455CEF"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 </w:t>
            </w:r>
            <w:r w:rsidR="00455CEF"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Unidad</w:t>
            </w:r>
            <w:r w:rsidR="00455CEF"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 xml:space="preserve"> 1,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Lección</w:t>
            </w:r>
            <w:r w:rsidR="00455CEF"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 xml:space="preserve"> 6)</w:t>
            </w:r>
          </w:p>
          <w:p w:rsidR="007A4F13" w:rsidRPr="004F38A8" w:rsidRDefault="005E0FFC" w:rsidP="00B9538A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*Porcentajes 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1, Lección 7)</w:t>
            </w:r>
          </w:p>
          <w:p w:rsidR="004F38A8" w:rsidRPr="004F38A8" w:rsidRDefault="005E0FFC" w:rsidP="00B9538A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*Medición y unidades de medidas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2, Lección 1)</w:t>
            </w:r>
          </w:p>
        </w:tc>
      </w:tr>
      <w:tr w:rsidR="006C62BC" w:rsidRPr="008A1020" w:rsidTr="008A1020">
        <w:trPr>
          <w:trHeight w:val="676"/>
        </w:trPr>
        <w:tc>
          <w:tcPr>
            <w:tcW w:w="631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auto"/>
          </w:tcPr>
          <w:p w:rsidR="006C62BC" w:rsidRPr="004F38A8" w:rsidRDefault="004F38A8" w:rsidP="006C62BC">
            <w:pPr>
              <w:rPr>
                <w:rFonts w:ascii="Cambria" w:hAnsi="Cambria"/>
                <w:sz w:val="20"/>
                <w:szCs w:val="20"/>
              </w:rPr>
            </w:pPr>
            <w:r w:rsidRPr="004F38A8">
              <w:rPr>
                <w:rFonts w:ascii="Cambria" w:hAnsi="Cambria"/>
                <w:sz w:val="20"/>
                <w:szCs w:val="20"/>
              </w:rPr>
              <w:t>Clase 3</w:t>
            </w:r>
          </w:p>
        </w:tc>
        <w:tc>
          <w:tcPr>
            <w:tcW w:w="4369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auto"/>
            <w:vAlign w:val="center"/>
          </w:tcPr>
          <w:p w:rsidR="008A1020" w:rsidRDefault="008A1020" w:rsidP="00B9538A">
            <w:pPr>
              <w:rPr>
                <w:rFonts w:ascii="Cambria" w:hAnsi="Cambria"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*Longitud, área y volumen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2, Lección 2)</w:t>
            </w:r>
          </w:p>
          <w:p w:rsidR="005E0FFC" w:rsidRPr="004F38A8" w:rsidRDefault="005E0FFC" w:rsidP="00B9538A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*Media, Mediana and Moda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2, Lección 3)</w:t>
            </w:r>
          </w:p>
          <w:p w:rsidR="008A1020" w:rsidRPr="008A1020" w:rsidRDefault="005E0FFC" w:rsidP="008A1020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*Probabilidad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2, Lección 4)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br/>
            </w: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*Gráficos de barras y lineales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2, Lección 5)</w:t>
            </w:r>
          </w:p>
        </w:tc>
      </w:tr>
      <w:tr w:rsidR="006C62BC" w:rsidRPr="008A1020" w:rsidTr="008A1020">
        <w:tc>
          <w:tcPr>
            <w:tcW w:w="631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auto"/>
          </w:tcPr>
          <w:p w:rsidR="006C62BC" w:rsidRPr="004F38A8" w:rsidRDefault="004F38A8" w:rsidP="006C62BC">
            <w:pPr>
              <w:rPr>
                <w:rFonts w:ascii="Cambria" w:hAnsi="Cambria"/>
                <w:sz w:val="20"/>
                <w:szCs w:val="20"/>
              </w:rPr>
            </w:pPr>
            <w:r w:rsidRPr="004F38A8">
              <w:rPr>
                <w:rFonts w:ascii="Cambria" w:hAnsi="Cambria"/>
                <w:sz w:val="20"/>
                <w:szCs w:val="20"/>
              </w:rPr>
              <w:t>Clase 4</w:t>
            </w:r>
          </w:p>
        </w:tc>
        <w:tc>
          <w:tcPr>
            <w:tcW w:w="4369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auto"/>
            <w:vAlign w:val="center"/>
          </w:tcPr>
          <w:p w:rsidR="008A1020" w:rsidRPr="004F38A8" w:rsidRDefault="008A1020" w:rsidP="008A1020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*Gráficas circulares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2, Lección 6)</w:t>
            </w:r>
          </w:p>
          <w:p w:rsidR="008A1020" w:rsidRPr="008A1020" w:rsidRDefault="008A1020" w:rsidP="005E0FFC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*Diagramas de puntos, histogramas y diagramas de cajas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2, Lección 7)</w:t>
            </w:r>
          </w:p>
          <w:p w:rsidR="005E0FFC" w:rsidRPr="004F38A8" w:rsidRDefault="005E0FFC" w:rsidP="005E0FFC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*Expresiones algebraicas y variables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3, Lección 1)</w:t>
            </w:r>
          </w:p>
          <w:p w:rsidR="00B9538A" w:rsidRPr="008A1020" w:rsidRDefault="005E0FFC" w:rsidP="00B9538A">
            <w:pPr>
              <w:rPr>
                <w:rFonts w:ascii="Cambria" w:hAnsi="Cambria"/>
                <w:b/>
                <w:sz w:val="20"/>
                <w:szCs w:val="20"/>
                <w:lang w:val="es-419"/>
              </w:rPr>
            </w:pPr>
            <w:r w:rsidRPr="008A1020">
              <w:rPr>
                <w:rFonts w:ascii="Cambria" w:hAnsi="Cambria"/>
                <w:sz w:val="20"/>
                <w:szCs w:val="20"/>
                <w:lang w:val="es-419"/>
              </w:rPr>
              <w:t xml:space="preserve">*Ecuaciones </w:t>
            </w:r>
            <w:r w:rsidRPr="008A1020">
              <w:rPr>
                <w:rFonts w:ascii="Cambria" w:hAnsi="Cambria"/>
                <w:b/>
                <w:sz w:val="20"/>
                <w:szCs w:val="20"/>
                <w:lang w:val="es-419"/>
              </w:rPr>
              <w:t>(Unidad 3, Lección 2)</w:t>
            </w:r>
          </w:p>
        </w:tc>
      </w:tr>
      <w:tr w:rsidR="006C62BC" w:rsidRPr="008A1020" w:rsidTr="008A1020">
        <w:tc>
          <w:tcPr>
            <w:tcW w:w="631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auto"/>
          </w:tcPr>
          <w:p w:rsidR="006C62BC" w:rsidRPr="004F38A8" w:rsidRDefault="004F38A8" w:rsidP="004F38A8">
            <w:pPr>
              <w:rPr>
                <w:rFonts w:ascii="Cambria" w:hAnsi="Cambria"/>
                <w:sz w:val="20"/>
                <w:szCs w:val="20"/>
              </w:rPr>
            </w:pPr>
            <w:r w:rsidRPr="004F38A8">
              <w:rPr>
                <w:rFonts w:ascii="Cambria" w:hAnsi="Cambria"/>
                <w:sz w:val="20"/>
                <w:szCs w:val="20"/>
              </w:rPr>
              <w:t>Clase 5</w:t>
            </w:r>
          </w:p>
        </w:tc>
        <w:tc>
          <w:tcPr>
            <w:tcW w:w="4369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auto"/>
            <w:vAlign w:val="center"/>
          </w:tcPr>
          <w:p w:rsidR="005E0FFC" w:rsidRPr="004F38A8" w:rsidRDefault="005E0FFC" w:rsidP="005E0FFC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*Elevar al cuadrado, al cubo y extraer raíces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3, Lección 3)</w:t>
            </w:r>
          </w:p>
          <w:p w:rsidR="005E0FFC" w:rsidRPr="004F38A8" w:rsidRDefault="005E0FFC" w:rsidP="005E0FFC">
            <w:pPr>
              <w:rPr>
                <w:rFonts w:ascii="Cambria" w:hAnsi="Cambria"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*Exponentes y notación científica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3, Lección 4)</w:t>
            </w:r>
          </w:p>
          <w:p w:rsidR="008A1020" w:rsidRPr="004F38A8" w:rsidRDefault="008A1020" w:rsidP="008A1020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*Patrones y funciones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3, Lección 5)</w:t>
            </w:r>
          </w:p>
          <w:p w:rsidR="00B9538A" w:rsidRPr="008A1020" w:rsidRDefault="008A1020" w:rsidP="005E0FFC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*Ecuaciones lineares con una variable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3, Lección 6)</w:t>
            </w:r>
          </w:p>
        </w:tc>
      </w:tr>
      <w:tr w:rsidR="006C62BC" w:rsidRPr="008A1020" w:rsidTr="008A1020">
        <w:tc>
          <w:tcPr>
            <w:tcW w:w="631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auto"/>
          </w:tcPr>
          <w:p w:rsidR="006C62BC" w:rsidRPr="004F38A8" w:rsidRDefault="004F38A8" w:rsidP="006C62BC">
            <w:pPr>
              <w:rPr>
                <w:rFonts w:ascii="Cambria" w:hAnsi="Cambria"/>
                <w:sz w:val="20"/>
                <w:szCs w:val="20"/>
              </w:rPr>
            </w:pPr>
            <w:r w:rsidRPr="004F38A8">
              <w:rPr>
                <w:rFonts w:ascii="Cambria" w:hAnsi="Cambria"/>
                <w:sz w:val="20"/>
                <w:szCs w:val="20"/>
              </w:rPr>
              <w:t>Clase 6</w:t>
            </w:r>
          </w:p>
        </w:tc>
        <w:tc>
          <w:tcPr>
            <w:tcW w:w="4369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auto"/>
            <w:vAlign w:val="center"/>
          </w:tcPr>
          <w:p w:rsidR="005E0FFC" w:rsidRPr="004F38A8" w:rsidRDefault="005E0FFC" w:rsidP="005E0FFC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*Ecuaciones lineares con dos variables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3, Lección 7)</w:t>
            </w:r>
          </w:p>
          <w:p w:rsidR="00B9538A" w:rsidRPr="008A1020" w:rsidRDefault="008A1020" w:rsidP="00B9538A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*Descomponer en factores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3, Lección 8)</w:t>
            </w: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br/>
              <w:t xml:space="preserve">*Expresiones racionales y ecuaciones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3, Lección 9)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br/>
            </w: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*Resolver y graficar desigualdades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3, Lección 10)</w:t>
            </w:r>
          </w:p>
        </w:tc>
      </w:tr>
      <w:tr w:rsidR="006C62BC" w:rsidRPr="008A1020" w:rsidTr="008A1020">
        <w:tc>
          <w:tcPr>
            <w:tcW w:w="631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auto"/>
          </w:tcPr>
          <w:p w:rsidR="006C62BC" w:rsidRPr="004F38A8" w:rsidRDefault="004F38A8" w:rsidP="006C62BC">
            <w:pPr>
              <w:rPr>
                <w:rFonts w:ascii="Cambria" w:hAnsi="Cambria"/>
                <w:sz w:val="20"/>
                <w:szCs w:val="20"/>
              </w:rPr>
            </w:pPr>
            <w:r w:rsidRPr="004F38A8">
              <w:rPr>
                <w:rFonts w:ascii="Cambria" w:hAnsi="Cambria"/>
                <w:sz w:val="20"/>
                <w:szCs w:val="20"/>
              </w:rPr>
              <w:t>Clase 7</w:t>
            </w:r>
          </w:p>
        </w:tc>
        <w:tc>
          <w:tcPr>
            <w:tcW w:w="4369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auto"/>
            <w:vAlign w:val="center"/>
          </w:tcPr>
          <w:p w:rsidR="008A1020" w:rsidRPr="004F38A8" w:rsidRDefault="008A1020" w:rsidP="008A1020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*Coordenadas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3, Lección 11)</w:t>
            </w:r>
          </w:p>
          <w:p w:rsidR="008A1020" w:rsidRPr="004F38A8" w:rsidRDefault="008A1020" w:rsidP="008A1020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*</w:t>
            </w: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Graficar ecuaciones lineales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3, Lección 12)</w:t>
            </w:r>
          </w:p>
          <w:p w:rsidR="008A1020" w:rsidRPr="004F38A8" w:rsidRDefault="008A1020" w:rsidP="008A1020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*Pendiente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3, Lección 13)</w:t>
            </w:r>
          </w:p>
          <w:p w:rsidR="00B9538A" w:rsidRPr="004F38A8" w:rsidRDefault="008A1020" w:rsidP="008A1020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*Usar pendiente para resolver problemas de geometría 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3, Lección 14)</w:t>
            </w:r>
          </w:p>
        </w:tc>
      </w:tr>
      <w:tr w:rsidR="006C62BC" w:rsidRPr="008A1020" w:rsidTr="008A1020">
        <w:tc>
          <w:tcPr>
            <w:tcW w:w="631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auto"/>
          </w:tcPr>
          <w:p w:rsidR="006C62BC" w:rsidRPr="004F38A8" w:rsidRDefault="004F38A8" w:rsidP="006C62BC">
            <w:pPr>
              <w:rPr>
                <w:rFonts w:ascii="Cambria" w:hAnsi="Cambria"/>
                <w:sz w:val="20"/>
                <w:szCs w:val="20"/>
              </w:rPr>
            </w:pPr>
            <w:r w:rsidRPr="004F38A8">
              <w:rPr>
                <w:rFonts w:ascii="Cambria" w:hAnsi="Cambria"/>
                <w:sz w:val="20"/>
                <w:szCs w:val="20"/>
              </w:rPr>
              <w:t>Clase 8</w:t>
            </w:r>
          </w:p>
        </w:tc>
        <w:tc>
          <w:tcPr>
            <w:tcW w:w="4369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auto"/>
            <w:vAlign w:val="center"/>
          </w:tcPr>
          <w:p w:rsidR="00B9538A" w:rsidRDefault="004F38A8" w:rsidP="005E0FFC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*Graficar ecuaciones cuadráticas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3, Lección 15)</w:t>
            </w:r>
          </w:p>
          <w:p w:rsidR="008A1020" w:rsidRPr="004F38A8" w:rsidRDefault="008A1020" w:rsidP="008A1020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*Evaluación de funciones 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3, Lección 16)</w:t>
            </w:r>
          </w:p>
          <w:p w:rsidR="008A1020" w:rsidRDefault="008A1020" w:rsidP="008A1020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*Comparación de funciones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3, Lección 17)</w:t>
            </w:r>
          </w:p>
          <w:p w:rsidR="008A1020" w:rsidRPr="004F38A8" w:rsidRDefault="008A1020" w:rsidP="008A1020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*Triángulos y cuadriláteros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4, Lección 1)</w:t>
            </w:r>
          </w:p>
        </w:tc>
      </w:tr>
      <w:tr w:rsidR="006C62BC" w:rsidRPr="008A1020" w:rsidTr="008A1020">
        <w:tc>
          <w:tcPr>
            <w:tcW w:w="631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auto"/>
          </w:tcPr>
          <w:p w:rsidR="006C62BC" w:rsidRPr="004F38A8" w:rsidRDefault="004F38A8" w:rsidP="006C62BC">
            <w:pPr>
              <w:rPr>
                <w:rFonts w:ascii="Cambria" w:hAnsi="Cambria"/>
                <w:sz w:val="20"/>
                <w:szCs w:val="20"/>
              </w:rPr>
            </w:pPr>
            <w:r w:rsidRPr="004F38A8">
              <w:rPr>
                <w:rFonts w:ascii="Cambria" w:hAnsi="Cambria"/>
                <w:sz w:val="20"/>
                <w:szCs w:val="20"/>
              </w:rPr>
              <w:t>Clase 9</w:t>
            </w:r>
          </w:p>
        </w:tc>
        <w:tc>
          <w:tcPr>
            <w:tcW w:w="4369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auto"/>
            <w:vAlign w:val="center"/>
          </w:tcPr>
          <w:p w:rsidR="008A1020" w:rsidRPr="004F38A8" w:rsidRDefault="008A1020" w:rsidP="008A1020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*Teorema de Pitágoras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4, Lección 2)</w:t>
            </w:r>
          </w:p>
          <w:p w:rsidR="008A1020" w:rsidRPr="004F38A8" w:rsidRDefault="008A1020" w:rsidP="008A1020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*Polígonos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4, Lección 3)</w:t>
            </w:r>
          </w:p>
          <w:p w:rsidR="008A1020" w:rsidRPr="004F38A8" w:rsidRDefault="008A1020" w:rsidP="008A1020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*Círculos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4, Lección 4)</w:t>
            </w:r>
          </w:p>
          <w:p w:rsidR="00B9538A" w:rsidRPr="004F38A8" w:rsidRDefault="008A1020" w:rsidP="000108DC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*</w:t>
            </w: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Figuras planas compuestas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4, Lección 5)</w:t>
            </w:r>
          </w:p>
        </w:tc>
      </w:tr>
      <w:tr w:rsidR="006C62BC" w:rsidRPr="008A1020" w:rsidTr="008A1020">
        <w:tc>
          <w:tcPr>
            <w:tcW w:w="631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auto"/>
          </w:tcPr>
          <w:p w:rsidR="006C62BC" w:rsidRPr="004F38A8" w:rsidRDefault="004F38A8" w:rsidP="006C62BC">
            <w:pPr>
              <w:rPr>
                <w:rFonts w:ascii="Cambria" w:hAnsi="Cambria"/>
                <w:sz w:val="20"/>
                <w:szCs w:val="20"/>
              </w:rPr>
            </w:pPr>
            <w:r w:rsidRPr="004F38A8">
              <w:rPr>
                <w:rFonts w:ascii="Cambria" w:hAnsi="Cambria"/>
                <w:sz w:val="20"/>
                <w:szCs w:val="20"/>
              </w:rPr>
              <w:t>Clase 10</w:t>
            </w:r>
          </w:p>
        </w:tc>
        <w:tc>
          <w:tcPr>
            <w:tcW w:w="4369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auto"/>
            <w:vAlign w:val="center"/>
          </w:tcPr>
          <w:p w:rsidR="004F38A8" w:rsidRDefault="004F38A8" w:rsidP="004F38A8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*Dibujos a escala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4, Lección 6)</w:t>
            </w:r>
          </w:p>
          <w:p w:rsidR="008A1020" w:rsidRPr="004F38A8" w:rsidRDefault="008A1020" w:rsidP="008A1020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*Prismas y cilindros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4, Lección 7)</w:t>
            </w:r>
          </w:p>
          <w:p w:rsidR="008A1020" w:rsidRDefault="008A1020" w:rsidP="008A1020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*</w:t>
            </w: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Pirámides, conos, y esferas 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4, Lección 8)</w:t>
            </w:r>
          </w:p>
          <w:p w:rsidR="00B9538A" w:rsidRPr="004F38A8" w:rsidRDefault="008A1020" w:rsidP="004F38A8">
            <w:pPr>
              <w:rPr>
                <w:rFonts w:ascii="Cambria" w:hAnsi="Cambria"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*Cuerpos geométricos compuestos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(Unidad 4, Lección 9)</w:t>
            </w:r>
          </w:p>
        </w:tc>
      </w:tr>
    </w:tbl>
    <w:p w:rsidR="0085425E" w:rsidRPr="004F38A8" w:rsidRDefault="0085425E" w:rsidP="00D5121A">
      <w:pPr>
        <w:rPr>
          <w:lang w:val="es-US"/>
        </w:rPr>
      </w:pPr>
    </w:p>
    <w:sectPr w:rsidR="0085425E" w:rsidRPr="004F38A8" w:rsidSect="00D51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CE" w:rsidRDefault="00972ACE" w:rsidP="007A4F13">
      <w:r>
        <w:separator/>
      </w:r>
    </w:p>
  </w:endnote>
  <w:endnote w:type="continuationSeparator" w:id="0">
    <w:p w:rsidR="00972ACE" w:rsidRDefault="00972ACE" w:rsidP="007A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DB" w:rsidRDefault="001C52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418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2A3" w:rsidRDefault="00B56E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2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F13" w:rsidRDefault="007A4F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DB" w:rsidRDefault="001C52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CE" w:rsidRDefault="00972ACE" w:rsidP="007A4F13">
      <w:r>
        <w:separator/>
      </w:r>
    </w:p>
  </w:footnote>
  <w:footnote w:type="continuationSeparator" w:id="0">
    <w:p w:rsidR="00972ACE" w:rsidRDefault="00972ACE" w:rsidP="007A4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DB" w:rsidRDefault="001C52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13" w:rsidRDefault="001C52DB">
    <w:pPr>
      <w:pStyle w:val="Header"/>
    </w:pPr>
    <w:bookmarkStart w:id="0" w:name="_GoBack"/>
    <w:r>
      <w:rPr>
        <w:noProof/>
      </w:rPr>
      <w:drawing>
        <wp:inline distT="0" distB="0" distL="0" distR="0" wp14:anchorId="1BD15B25" wp14:editId="49A25051">
          <wp:extent cx="621741" cy="627836"/>
          <wp:effectExtent l="0" t="0" r="698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M logo low 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41" cy="627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DB" w:rsidRDefault="001C52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1A"/>
    <w:rsid w:val="000108DC"/>
    <w:rsid w:val="00052C94"/>
    <w:rsid w:val="00063AE3"/>
    <w:rsid w:val="00076EBA"/>
    <w:rsid w:val="000F1D07"/>
    <w:rsid w:val="00146F0C"/>
    <w:rsid w:val="001C52DB"/>
    <w:rsid w:val="001F5B9F"/>
    <w:rsid w:val="0020561C"/>
    <w:rsid w:val="00210F7F"/>
    <w:rsid w:val="00322C73"/>
    <w:rsid w:val="0038568B"/>
    <w:rsid w:val="003E1497"/>
    <w:rsid w:val="00402EE1"/>
    <w:rsid w:val="00455CEF"/>
    <w:rsid w:val="004F2ED7"/>
    <w:rsid w:val="004F38A8"/>
    <w:rsid w:val="00501F2A"/>
    <w:rsid w:val="005279F3"/>
    <w:rsid w:val="0058023A"/>
    <w:rsid w:val="005A32E0"/>
    <w:rsid w:val="005E0FFC"/>
    <w:rsid w:val="005F4A7E"/>
    <w:rsid w:val="00602FDF"/>
    <w:rsid w:val="00630B09"/>
    <w:rsid w:val="006752EC"/>
    <w:rsid w:val="006C62BC"/>
    <w:rsid w:val="006C7C1E"/>
    <w:rsid w:val="0075733C"/>
    <w:rsid w:val="007A4F13"/>
    <w:rsid w:val="0085425E"/>
    <w:rsid w:val="00876D0C"/>
    <w:rsid w:val="008A1020"/>
    <w:rsid w:val="00951474"/>
    <w:rsid w:val="0095298B"/>
    <w:rsid w:val="00972ACE"/>
    <w:rsid w:val="0099582B"/>
    <w:rsid w:val="00A0790B"/>
    <w:rsid w:val="00A160E8"/>
    <w:rsid w:val="00A32163"/>
    <w:rsid w:val="00A7158B"/>
    <w:rsid w:val="00AE46C1"/>
    <w:rsid w:val="00B56E8B"/>
    <w:rsid w:val="00B912A3"/>
    <w:rsid w:val="00B9538A"/>
    <w:rsid w:val="00BF3FF4"/>
    <w:rsid w:val="00C73F44"/>
    <w:rsid w:val="00D5121A"/>
    <w:rsid w:val="00D555B6"/>
    <w:rsid w:val="00DA19C4"/>
    <w:rsid w:val="00E17EEC"/>
    <w:rsid w:val="00ED456D"/>
    <w:rsid w:val="00F848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2E80E3-048F-47C2-9332-62EBE966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2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rsid w:val="00455CEF"/>
    <w:rPr>
      <w:b/>
      <w:bCs/>
    </w:rPr>
  </w:style>
  <w:style w:type="paragraph" w:styleId="Header">
    <w:name w:val="header"/>
    <w:basedOn w:val="Normal"/>
    <w:link w:val="HeaderChar"/>
    <w:unhideWhenUsed/>
    <w:rsid w:val="007A4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4F13"/>
  </w:style>
  <w:style w:type="paragraph" w:styleId="Footer">
    <w:name w:val="footer"/>
    <w:basedOn w:val="Normal"/>
    <w:link w:val="FooterChar"/>
    <w:uiPriority w:val="99"/>
    <w:unhideWhenUsed/>
    <w:rsid w:val="007A4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7F3DA-17D3-4F99-AB99-D9ED73C3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Mavity</dc:creator>
  <cp:keywords/>
  <cp:lastModifiedBy>Leticia Valencia</cp:lastModifiedBy>
  <cp:revision>2</cp:revision>
  <dcterms:created xsi:type="dcterms:W3CDTF">2017-08-31T18:37:00Z</dcterms:created>
  <dcterms:modified xsi:type="dcterms:W3CDTF">2017-08-31T18:37:00Z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1330503053</vt:i4>
  </property>
  <property fmtid="{D5CDD505-2E9C-101B-9397-08002B2CF9AE}" pid="3" name="_NewReviewCycle">
    <vt:lpwstr/>
  </property>
  <property fmtid="{D5CDD505-2E9C-101B-9397-08002B2CF9AE}" pid="4" name="_EmailSubject">
    <vt:lpwstr>Avanzada</vt:lpwstr>
  </property>
  <property fmtid="{D5CDD505-2E9C-101B-9397-08002B2CF9AE}" pid="5" name="_AuthorEmail">
    <vt:lpwstr>marco.valencia@sap.com</vt:lpwstr>
  </property>
  <property fmtid="{D5CDD505-2E9C-101B-9397-08002B2CF9AE}" pid="6" name="_AuthorEmailDisplayName">
    <vt:lpwstr>Valencia, Marco</vt:lpwstr>
  </property>
  <property fmtid="{D5CDD505-2E9C-101B-9397-08002B2CF9AE}" pid="7" name="_ReviewingToolsShownOnce">
    <vt:lpwstr/>
  </property>
</Properties>
</file>